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72A8" w:rsidRDefault="006C137F">
      <w:pPr>
        <w:spacing w:after="160" w:line="240" w:lineRule="auto"/>
      </w:pPr>
      <w:r>
        <w:t xml:space="preserve">TO: Whitney Barnett, PLE Facilitator; Bryan Paschal, PLE Facilitator </w:t>
      </w:r>
    </w:p>
    <w:p w14:paraId="00000002" w14:textId="77777777" w:rsidR="007672A8" w:rsidRDefault="006C137F">
      <w:pPr>
        <w:spacing w:after="160" w:line="240" w:lineRule="auto"/>
      </w:pPr>
      <w:r>
        <w:t xml:space="preserve">FROM: Charli Kerns, Data Analyst </w:t>
      </w:r>
    </w:p>
    <w:p w14:paraId="00000003" w14:textId="77777777" w:rsidR="007672A8" w:rsidRDefault="006C137F">
      <w:pPr>
        <w:spacing w:after="160" w:line="240" w:lineRule="auto"/>
      </w:pPr>
      <w:r>
        <w:t xml:space="preserve">SUBJECT: Resilient Teachers Qualitative Project Executive Summary </w:t>
      </w:r>
    </w:p>
    <w:p w14:paraId="00000004" w14:textId="77777777" w:rsidR="007672A8" w:rsidRDefault="006C137F">
      <w:pPr>
        <w:pBdr>
          <w:bottom w:val="single" w:sz="6" w:space="1" w:color="000000"/>
        </w:pBdr>
        <w:spacing w:after="160" w:line="240" w:lineRule="auto"/>
        <w:rPr>
          <w:color w:val="0E101A"/>
        </w:rPr>
      </w:pPr>
      <w:r>
        <w:t>DATE: 1.14.2021</w:t>
      </w:r>
    </w:p>
    <w:p w14:paraId="00000005" w14:textId="77777777" w:rsidR="007672A8" w:rsidRDefault="006C137F">
      <w:pPr>
        <w:pStyle w:val="Heading2"/>
        <w:spacing w:line="240" w:lineRule="auto"/>
        <w:jc w:val="center"/>
      </w:pPr>
      <w:bookmarkStart w:id="0" w:name="_amfm2fta36vz" w:colFirst="0" w:colLast="0"/>
      <w:bookmarkEnd w:id="0"/>
      <w:r>
        <w:t>Introduction</w:t>
      </w:r>
    </w:p>
    <w:p w14:paraId="00000006" w14:textId="77777777" w:rsidR="007672A8" w:rsidRDefault="006C137F">
      <w:pPr>
        <w:spacing w:line="240" w:lineRule="auto"/>
        <w:rPr>
          <w:color w:val="0E101A"/>
        </w:rPr>
      </w:pPr>
      <w:r>
        <w:rPr>
          <w:color w:val="0E101A"/>
        </w:rPr>
        <w:t>This report offers recommendations and next steps to the Knox County Schools Curriculum and Instruction Department for disseminating new curricula. The recommendations are based on interviews with a cohort of teachers.</w:t>
      </w:r>
    </w:p>
    <w:p w14:paraId="00000007" w14:textId="77777777" w:rsidR="007672A8" w:rsidRDefault="007672A8">
      <w:pPr>
        <w:spacing w:line="240" w:lineRule="auto"/>
        <w:rPr>
          <w:color w:val="0E101A"/>
        </w:rPr>
      </w:pPr>
    </w:p>
    <w:p w14:paraId="00000008" w14:textId="77777777" w:rsidR="007672A8" w:rsidRDefault="006C137F">
      <w:pPr>
        <w:pStyle w:val="Heading3"/>
        <w:spacing w:line="240" w:lineRule="auto"/>
        <w:rPr>
          <w:i/>
          <w:sz w:val="24"/>
          <w:szCs w:val="24"/>
        </w:rPr>
      </w:pPr>
      <w:bookmarkStart w:id="1" w:name="_8g0o54f0im80" w:colFirst="0" w:colLast="0"/>
      <w:bookmarkEnd w:id="1"/>
      <w:r>
        <w:rPr>
          <w:i/>
          <w:sz w:val="24"/>
          <w:szCs w:val="24"/>
        </w:rPr>
        <w:t>Statement of the Problem</w:t>
      </w:r>
    </w:p>
    <w:p w14:paraId="00000009" w14:textId="12EC8589" w:rsidR="007672A8" w:rsidRDefault="006C137F">
      <w:pPr>
        <w:spacing w:line="240" w:lineRule="auto"/>
        <w:rPr>
          <w:color w:val="0E101A"/>
          <w:sz w:val="34"/>
          <w:szCs w:val="34"/>
        </w:rPr>
      </w:pPr>
      <w:r>
        <w:rPr>
          <w:color w:val="0E101A"/>
        </w:rPr>
        <w:t>District me</w:t>
      </w:r>
      <w:r>
        <w:rPr>
          <w:color w:val="0E101A"/>
        </w:rPr>
        <w:t xml:space="preserve">mbers were concerned that teachers who have been identified as effective and whose practices align with what the district would like to see across all schools </w:t>
      </w:r>
      <w:r w:rsidR="00A9055A">
        <w:rPr>
          <w:color w:val="0E101A"/>
        </w:rPr>
        <w:t>may be</w:t>
      </w:r>
      <w:r>
        <w:rPr>
          <w:color w:val="0E101A"/>
        </w:rPr>
        <w:t xml:space="preserve"> reluctant to adopt the new ELA and math curricula. Therefore, the purpose of this study is t</w:t>
      </w:r>
      <w:r>
        <w:rPr>
          <w:color w:val="0E101A"/>
        </w:rPr>
        <w:t xml:space="preserve">o examine the perspectives and experiences of teachers toward the new curricula to determine what strategies </w:t>
      </w:r>
      <w:r w:rsidR="00A9055A">
        <w:rPr>
          <w:color w:val="0E101A"/>
        </w:rPr>
        <w:t>can</w:t>
      </w:r>
      <w:r>
        <w:rPr>
          <w:color w:val="0E101A"/>
        </w:rPr>
        <w:t xml:space="preserve"> be used </w:t>
      </w:r>
      <w:r w:rsidR="00A9055A">
        <w:rPr>
          <w:color w:val="0E101A"/>
        </w:rPr>
        <w:t>to</w:t>
      </w:r>
      <w:r>
        <w:rPr>
          <w:color w:val="0E101A"/>
        </w:rPr>
        <w:t xml:space="preserve"> increas</w:t>
      </w:r>
      <w:r w:rsidR="00A9055A">
        <w:rPr>
          <w:color w:val="0E101A"/>
        </w:rPr>
        <w:t>e</w:t>
      </w:r>
      <w:r>
        <w:rPr>
          <w:color w:val="0E101A"/>
        </w:rPr>
        <w:t xml:space="preserve"> adoption</w:t>
      </w:r>
      <w:r w:rsidR="00A9055A">
        <w:rPr>
          <w:color w:val="0E101A"/>
        </w:rPr>
        <w:t xml:space="preserve"> rates</w:t>
      </w:r>
      <w:r>
        <w:rPr>
          <w:color w:val="0E101A"/>
        </w:rPr>
        <w:t xml:space="preserve">.  </w:t>
      </w:r>
    </w:p>
    <w:p w14:paraId="0000000A" w14:textId="77777777" w:rsidR="007672A8" w:rsidRDefault="006C137F">
      <w:pPr>
        <w:pStyle w:val="Heading2"/>
        <w:spacing w:line="240" w:lineRule="auto"/>
        <w:jc w:val="center"/>
      </w:pPr>
      <w:bookmarkStart w:id="2" w:name="_k4v4q0ahdizf" w:colFirst="0" w:colLast="0"/>
      <w:bookmarkEnd w:id="2"/>
      <w:r>
        <w:t>Theory</w:t>
      </w:r>
    </w:p>
    <w:p w14:paraId="0000000B" w14:textId="5494E91C" w:rsidR="007672A8" w:rsidRDefault="006C137F">
      <w:pPr>
        <w:spacing w:line="240" w:lineRule="auto"/>
        <w:rPr>
          <w:color w:val="0E101A"/>
        </w:rPr>
      </w:pPr>
      <w:r>
        <w:rPr>
          <w:color w:val="0E101A"/>
        </w:rPr>
        <w:t xml:space="preserve">The theoretical framework guiding this study </w:t>
      </w:r>
      <w:r w:rsidR="00A9055A">
        <w:rPr>
          <w:color w:val="0E101A"/>
        </w:rPr>
        <w:t>is</w:t>
      </w:r>
      <w:r>
        <w:rPr>
          <w:color w:val="0E101A"/>
        </w:rPr>
        <w:t xml:space="preserve"> Diffusion of Innovation (DOI)</w:t>
      </w:r>
      <w:r>
        <w:rPr>
          <w:color w:val="0E101A"/>
        </w:rPr>
        <w:t>, which charts “the process by which [an innovation] is communicated over time among members of a social system</w:t>
      </w:r>
      <w:r w:rsidR="004C3A9B">
        <w:rPr>
          <w:color w:val="0E101A"/>
        </w:rPr>
        <w:t>.</w:t>
      </w:r>
      <w:r>
        <w:rPr>
          <w:color w:val="0E101A"/>
        </w:rPr>
        <w:t>”</w:t>
      </w:r>
      <w:r w:rsidR="005522E7">
        <w:rPr>
          <w:rStyle w:val="FootnoteReference"/>
          <w:color w:val="0E101A"/>
        </w:rPr>
        <w:footnoteReference w:id="1"/>
      </w:r>
      <w:r>
        <w:rPr>
          <w:color w:val="0E101A"/>
        </w:rPr>
        <w:t xml:space="preserve"> This innovation could be a new idea, practice, or the present study’s case, the new district-sanctioned ELA and math curricula. There are thre</w:t>
      </w:r>
      <w:r>
        <w:rPr>
          <w:color w:val="0E101A"/>
        </w:rPr>
        <w:t>e basics/tenets of DOI, which include the ten key characteristics of the innovation, the five different stages of its adoption, and the types of individuals who adopt the innovation at which phases. Of these elements, the findings primarily centered around</w:t>
      </w:r>
      <w:r>
        <w:rPr>
          <w:color w:val="0E101A"/>
        </w:rPr>
        <w:t xml:space="preserve"> the curricula’s relative advantages and compatibilities with current teaching practices.</w:t>
      </w:r>
    </w:p>
    <w:p w14:paraId="0000000C" w14:textId="77777777" w:rsidR="007672A8" w:rsidRDefault="007672A8">
      <w:pPr>
        <w:spacing w:line="240" w:lineRule="auto"/>
        <w:rPr>
          <w:color w:val="0E101A"/>
        </w:rPr>
      </w:pPr>
    </w:p>
    <w:p w14:paraId="0000000D" w14:textId="1E428D87" w:rsidR="007672A8" w:rsidRDefault="004C3A9B">
      <w:pPr>
        <w:spacing w:line="240" w:lineRule="auto"/>
        <w:rPr>
          <w:color w:val="0E101A"/>
        </w:rPr>
      </w:pPr>
      <w:r>
        <w:rPr>
          <w:color w:val="0E101A"/>
        </w:rPr>
        <w:t>Specifically, t</w:t>
      </w:r>
      <w:r w:rsidR="006C137F">
        <w:rPr>
          <w:color w:val="0E101A"/>
        </w:rPr>
        <w:t>his study was informed by Rogers’</w:t>
      </w:r>
      <w:r w:rsidR="005522E7">
        <w:rPr>
          <w:rStyle w:val="FootnoteReference"/>
          <w:color w:val="0E101A"/>
        </w:rPr>
        <w:footnoteReference w:id="2"/>
      </w:r>
      <w:r w:rsidR="006C137F">
        <w:rPr>
          <w:color w:val="0E101A"/>
        </w:rPr>
        <w:t xml:space="preserve"> </w:t>
      </w:r>
      <w:r w:rsidR="006C137F">
        <w:rPr>
          <w:color w:val="0E101A"/>
        </w:rPr>
        <w:t xml:space="preserve">approach to DOI, which emphasizes that it is the potential adopter’s </w:t>
      </w:r>
      <w:r w:rsidR="006C137F" w:rsidRPr="00852EF3">
        <w:rPr>
          <w:i/>
          <w:iCs/>
          <w:color w:val="0E101A"/>
        </w:rPr>
        <w:t>perceptions</w:t>
      </w:r>
      <w:r w:rsidR="006C137F">
        <w:rPr>
          <w:color w:val="0E101A"/>
        </w:rPr>
        <w:t xml:space="preserve"> of the</w:t>
      </w:r>
      <w:r w:rsidR="00852EF3">
        <w:rPr>
          <w:color w:val="0E101A"/>
        </w:rPr>
        <w:t xml:space="preserve"> </w:t>
      </w:r>
      <w:r w:rsidR="006C137F">
        <w:rPr>
          <w:color w:val="0E101A"/>
        </w:rPr>
        <w:t>innovation</w:t>
      </w:r>
      <w:r w:rsidR="00852EF3">
        <w:rPr>
          <w:color w:val="0E101A"/>
        </w:rPr>
        <w:t>’s attributes</w:t>
      </w:r>
      <w:r w:rsidR="006C137F">
        <w:rPr>
          <w:color w:val="0E101A"/>
        </w:rPr>
        <w:t>, not the a</w:t>
      </w:r>
      <w:r w:rsidR="006C137F">
        <w:rPr>
          <w:color w:val="0E101A"/>
        </w:rPr>
        <w:t>ttribute</w:t>
      </w:r>
      <w:r w:rsidR="00852EF3">
        <w:rPr>
          <w:color w:val="0E101A"/>
        </w:rPr>
        <w:t>s themselves</w:t>
      </w:r>
      <w:r w:rsidR="006C137F">
        <w:rPr>
          <w:color w:val="0E101A"/>
        </w:rPr>
        <w:t>, that most strongly affect</w:t>
      </w:r>
      <w:r w:rsidR="00DD6CF5">
        <w:rPr>
          <w:color w:val="0E101A"/>
        </w:rPr>
        <w:t>s</w:t>
      </w:r>
      <w:r w:rsidR="006C137F">
        <w:rPr>
          <w:color w:val="0E101A"/>
        </w:rPr>
        <w:t xml:space="preserve"> </w:t>
      </w:r>
      <w:r w:rsidR="006C137F">
        <w:rPr>
          <w:color w:val="0E101A"/>
        </w:rPr>
        <w:t>adoption</w:t>
      </w:r>
      <w:r w:rsidR="00DD6CF5">
        <w:rPr>
          <w:color w:val="0E101A"/>
        </w:rPr>
        <w:t xml:space="preserve"> rate</w:t>
      </w:r>
      <w:r w:rsidR="006C137F">
        <w:rPr>
          <w:color w:val="0E101A"/>
        </w:rPr>
        <w:t>. Within his framework, five characteristics of the innovation are most influential: relative advantage, compatibility, complexity, trialability, and observ</w:t>
      </w:r>
      <w:r w:rsidR="006C137F">
        <w:rPr>
          <w:color w:val="0E101A"/>
        </w:rPr>
        <w:t>ability.</w:t>
      </w:r>
    </w:p>
    <w:p w14:paraId="0000000E" w14:textId="77777777" w:rsidR="007672A8" w:rsidRDefault="006C137F">
      <w:pPr>
        <w:pStyle w:val="Heading2"/>
        <w:spacing w:line="240" w:lineRule="auto"/>
        <w:jc w:val="center"/>
      </w:pPr>
      <w:bookmarkStart w:id="3" w:name="_pfw0whller5x" w:colFirst="0" w:colLast="0"/>
      <w:bookmarkEnd w:id="3"/>
      <w:r>
        <w:lastRenderedPageBreak/>
        <w:t xml:space="preserve">Method </w:t>
      </w:r>
    </w:p>
    <w:p w14:paraId="0000000F" w14:textId="77777777" w:rsidR="007672A8" w:rsidRDefault="006C137F">
      <w:pPr>
        <w:spacing w:line="240" w:lineRule="auto"/>
        <w:rPr>
          <w:b/>
          <w:i/>
          <w:color w:val="0E101A"/>
        </w:rPr>
      </w:pPr>
      <w:r>
        <w:rPr>
          <w:b/>
          <w:i/>
          <w:color w:val="0E101A"/>
        </w:rPr>
        <w:t>Data Collection</w:t>
      </w:r>
    </w:p>
    <w:p w14:paraId="00000010" w14:textId="7EDBFA53" w:rsidR="007672A8" w:rsidRDefault="006C137F">
      <w:pPr>
        <w:spacing w:line="240" w:lineRule="auto"/>
        <w:rPr>
          <w:color w:val="0E101A"/>
        </w:rPr>
      </w:pPr>
      <w:r>
        <w:rPr>
          <w:color w:val="0E101A"/>
        </w:rPr>
        <w:t>Because this study aimed to understand teachers’ experiences and perceptions about using the new curricula in their classrooms, interviews were the chosen method. While a quantitative approach is useful to examine human beh</w:t>
      </w:r>
      <w:r>
        <w:rPr>
          <w:color w:val="0E101A"/>
        </w:rPr>
        <w:t xml:space="preserve">avior as variables, qualitative research is appropriate when seeking to understand the motivations behind such behavior. </w:t>
      </w:r>
      <w:r w:rsidR="00DD6CF5">
        <w:rPr>
          <w:color w:val="0E101A"/>
        </w:rPr>
        <w:t>Six</w:t>
      </w:r>
      <w:r>
        <w:rPr>
          <w:color w:val="0E101A"/>
        </w:rPr>
        <w:t xml:space="preserve"> teachers were selected for the interviews. Interviews were recorded and transcribed, and to protect the anonymity of all participan</w:t>
      </w:r>
      <w:r>
        <w:rPr>
          <w:color w:val="0E101A"/>
        </w:rPr>
        <w:t xml:space="preserve">ts, pseudonyms were used in the transcription files. </w:t>
      </w:r>
    </w:p>
    <w:p w14:paraId="00000011" w14:textId="77777777" w:rsidR="007672A8" w:rsidRDefault="007672A8">
      <w:pPr>
        <w:spacing w:line="240" w:lineRule="auto"/>
        <w:rPr>
          <w:color w:val="0E101A"/>
        </w:rPr>
      </w:pPr>
    </w:p>
    <w:p w14:paraId="00000012" w14:textId="77777777" w:rsidR="007672A8" w:rsidRDefault="006C137F">
      <w:pPr>
        <w:spacing w:line="240" w:lineRule="auto"/>
        <w:rPr>
          <w:b/>
          <w:i/>
          <w:color w:val="0E101A"/>
        </w:rPr>
      </w:pPr>
      <w:r>
        <w:rPr>
          <w:b/>
          <w:i/>
          <w:color w:val="0E101A"/>
        </w:rPr>
        <w:t>Analysis</w:t>
      </w:r>
    </w:p>
    <w:p w14:paraId="00000013" w14:textId="36ABF325" w:rsidR="007672A8" w:rsidRDefault="006C137F">
      <w:pPr>
        <w:spacing w:line="240" w:lineRule="auto"/>
        <w:rPr>
          <w:color w:val="0E101A"/>
        </w:rPr>
      </w:pPr>
      <w:r>
        <w:rPr>
          <w:color w:val="0E101A"/>
        </w:rPr>
        <w:t>The data were coded in three phases. The first phase consisted of versus coding, which is used to identify the terms by which indivi</w:t>
      </w:r>
      <w:r>
        <w:rPr>
          <w:color w:val="0E101A"/>
        </w:rPr>
        <w:t>duals, social systems, processes, concepts, etc., come into direct conflict</w:t>
      </w:r>
      <w:r w:rsidR="002472E3">
        <w:rPr>
          <w:rStyle w:val="FootnoteReference"/>
          <w:color w:val="0E101A"/>
        </w:rPr>
        <w:footnoteReference w:id="3"/>
      </w:r>
      <w:r>
        <w:rPr>
          <w:color w:val="0E101A"/>
        </w:rPr>
        <w:t xml:space="preserve">. </w:t>
      </w:r>
      <w:r>
        <w:rPr>
          <w:i/>
          <w:color w:val="0E101A"/>
        </w:rPr>
        <w:t xml:space="preserve">Experienced teacher vs. novice teacher </w:t>
      </w:r>
      <w:r>
        <w:rPr>
          <w:color w:val="0E101A"/>
        </w:rPr>
        <w:t>is</w:t>
      </w:r>
      <w:r>
        <w:rPr>
          <w:i/>
          <w:color w:val="0E101A"/>
        </w:rPr>
        <w:t xml:space="preserve"> </w:t>
      </w:r>
      <w:r>
        <w:rPr>
          <w:color w:val="0E101A"/>
        </w:rPr>
        <w:t xml:space="preserve">an example versus code that was found across </w:t>
      </w:r>
      <w:proofErr w:type="gramStart"/>
      <w:r>
        <w:rPr>
          <w:color w:val="0E101A"/>
        </w:rPr>
        <w:t>all of</w:t>
      </w:r>
      <w:proofErr w:type="gramEnd"/>
      <w:r>
        <w:rPr>
          <w:color w:val="0E101A"/>
        </w:rPr>
        <w:t xml:space="preserve"> the interviews. From there, 20 codes were developed, which were then axially coded in</w:t>
      </w:r>
      <w:r>
        <w:rPr>
          <w:color w:val="0E101A"/>
        </w:rPr>
        <w:t xml:space="preserve">to 10 during the second phase of analysis. Finally, these categories were organized according to </w:t>
      </w:r>
      <w:r w:rsidR="00BB56E4">
        <w:rPr>
          <w:color w:val="0E101A"/>
        </w:rPr>
        <w:t>DOI</w:t>
      </w:r>
      <w:r>
        <w:rPr>
          <w:color w:val="0E101A"/>
        </w:rPr>
        <w:t xml:space="preserve"> theory into the final four themes of the study.</w:t>
      </w:r>
    </w:p>
    <w:p w14:paraId="00000014" w14:textId="77777777" w:rsidR="007672A8" w:rsidRDefault="006C137F">
      <w:pPr>
        <w:pStyle w:val="Heading2"/>
        <w:spacing w:line="240" w:lineRule="auto"/>
        <w:jc w:val="center"/>
      </w:pPr>
      <w:bookmarkStart w:id="4" w:name="_osi3wv5kyhnf" w:colFirst="0" w:colLast="0"/>
      <w:bookmarkEnd w:id="4"/>
      <w:r>
        <w:t>Key Findings</w:t>
      </w:r>
    </w:p>
    <w:p w14:paraId="00000015" w14:textId="3D6CD241" w:rsidR="007672A8" w:rsidRDefault="006C137F">
      <w:pPr>
        <w:spacing w:line="240" w:lineRule="auto"/>
        <w:rPr>
          <w:color w:val="0E101A"/>
        </w:rPr>
      </w:pPr>
      <w:r>
        <w:rPr>
          <w:color w:val="0E101A"/>
        </w:rPr>
        <w:t>While the district chose curricula based on the belief they will addre</w:t>
      </w:r>
      <w:r>
        <w:rPr>
          <w:color w:val="0E101A"/>
        </w:rPr>
        <w:t xml:space="preserve">ss the needs of students, this analysis of the interview data was grounded in teachers’ needs because they tend to have the most say in </w:t>
      </w:r>
      <w:proofErr w:type="gramStart"/>
      <w:r w:rsidR="00767D9A">
        <w:rPr>
          <w:color w:val="0E101A"/>
        </w:rPr>
        <w:t>whether</w:t>
      </w:r>
      <w:r>
        <w:rPr>
          <w:color w:val="0E101A"/>
        </w:rPr>
        <w:t xml:space="preserve"> </w:t>
      </w:r>
      <w:r w:rsidR="002F311B">
        <w:rPr>
          <w:color w:val="0E101A"/>
        </w:rPr>
        <w:t>or not</w:t>
      </w:r>
      <w:proofErr w:type="gramEnd"/>
      <w:r w:rsidR="002F311B">
        <w:rPr>
          <w:color w:val="0E101A"/>
        </w:rPr>
        <w:t xml:space="preserve"> </w:t>
      </w:r>
      <w:r>
        <w:rPr>
          <w:color w:val="0E101A"/>
        </w:rPr>
        <w:t>curricula get adopted/used in the classroom. Findings in this study highlight the four most prominent nee</w:t>
      </w:r>
      <w:r>
        <w:rPr>
          <w:color w:val="0E101A"/>
        </w:rPr>
        <w:t xml:space="preserve">ds participants in the study focused on: </w:t>
      </w:r>
    </w:p>
    <w:p w14:paraId="00000016" w14:textId="77777777" w:rsidR="007672A8" w:rsidRDefault="006C137F">
      <w:pPr>
        <w:spacing w:line="240" w:lineRule="auto"/>
        <w:ind w:firstLine="720"/>
        <w:rPr>
          <w:color w:val="0E101A"/>
        </w:rPr>
      </w:pPr>
      <w:r>
        <w:rPr>
          <w:color w:val="0E101A"/>
        </w:rPr>
        <w:t>1) students need to be practically successful in the short term</w:t>
      </w:r>
    </w:p>
    <w:p w14:paraId="00000017" w14:textId="12CAE86C" w:rsidR="007672A8" w:rsidRDefault="006C137F">
      <w:pPr>
        <w:spacing w:line="240" w:lineRule="auto"/>
        <w:ind w:firstLine="720"/>
        <w:rPr>
          <w:color w:val="0E101A"/>
        </w:rPr>
      </w:pPr>
      <w:r>
        <w:rPr>
          <w:color w:val="0E101A"/>
        </w:rPr>
        <w:t>2) students need to be ideologically successful in the long</w:t>
      </w:r>
      <w:r w:rsidR="002F311B">
        <w:rPr>
          <w:color w:val="0E101A"/>
        </w:rPr>
        <w:t xml:space="preserve"> </w:t>
      </w:r>
      <w:r>
        <w:rPr>
          <w:color w:val="0E101A"/>
        </w:rPr>
        <w:t>term</w:t>
      </w:r>
    </w:p>
    <w:p w14:paraId="00000018" w14:textId="77777777" w:rsidR="007672A8" w:rsidRDefault="006C137F">
      <w:pPr>
        <w:spacing w:line="240" w:lineRule="auto"/>
        <w:ind w:firstLine="720"/>
        <w:rPr>
          <w:color w:val="0E101A"/>
        </w:rPr>
      </w:pPr>
      <w:r>
        <w:rPr>
          <w:color w:val="0E101A"/>
        </w:rPr>
        <w:t>3) the classroom must be an effective learning environment</w:t>
      </w:r>
    </w:p>
    <w:p w14:paraId="00000019" w14:textId="77777777" w:rsidR="007672A8" w:rsidRDefault="006C137F">
      <w:pPr>
        <w:spacing w:line="240" w:lineRule="auto"/>
        <w:ind w:firstLine="720"/>
        <w:rPr>
          <w:color w:val="0E101A"/>
        </w:rPr>
      </w:pPr>
      <w:r>
        <w:rPr>
          <w:color w:val="0E101A"/>
        </w:rPr>
        <w:t xml:space="preserve">4) teachers need to refine and hone their craft </w:t>
      </w:r>
    </w:p>
    <w:p w14:paraId="0000001A" w14:textId="77777777" w:rsidR="007672A8" w:rsidRDefault="007672A8">
      <w:pPr>
        <w:spacing w:line="240" w:lineRule="auto"/>
        <w:rPr>
          <w:color w:val="0E101A"/>
        </w:rPr>
      </w:pPr>
    </w:p>
    <w:p w14:paraId="0000001B" w14:textId="42F4A6D0" w:rsidR="007672A8" w:rsidRDefault="006C137F">
      <w:pPr>
        <w:spacing w:line="240" w:lineRule="auto"/>
        <w:rPr>
          <w:color w:val="0E101A"/>
        </w:rPr>
      </w:pPr>
      <w:r>
        <w:rPr>
          <w:color w:val="0E101A"/>
        </w:rPr>
        <w:t>Of the five characteristics of an innovation considered influential in the DOI framework, teachers were most concerned with curriculum compatibility and relative advantages over what they were already doing</w:t>
      </w:r>
      <w:r>
        <w:rPr>
          <w:color w:val="0E101A"/>
        </w:rPr>
        <w:t xml:space="preserve"> in the classroom</w:t>
      </w:r>
      <w:r w:rsidR="002F311B">
        <w:rPr>
          <w:color w:val="0E101A"/>
        </w:rPr>
        <w:t xml:space="preserve"> to address these four needs</w:t>
      </w:r>
      <w:r>
        <w:rPr>
          <w:color w:val="0E101A"/>
        </w:rPr>
        <w:t>. The following sections detail each need, what teachers currently do to address the need, and what they think of the new curricula’s level</w:t>
      </w:r>
      <w:r w:rsidR="002F311B">
        <w:rPr>
          <w:color w:val="0E101A"/>
        </w:rPr>
        <w:t>s</w:t>
      </w:r>
      <w:r>
        <w:rPr>
          <w:color w:val="0E101A"/>
        </w:rPr>
        <w:t xml:space="preserve"> of relative advantage or compatibility with current teaching practice.</w:t>
      </w:r>
    </w:p>
    <w:p w14:paraId="0000001C" w14:textId="77777777" w:rsidR="007672A8" w:rsidRDefault="007672A8">
      <w:pPr>
        <w:spacing w:line="240" w:lineRule="auto"/>
        <w:rPr>
          <w:color w:val="0E101A"/>
        </w:rPr>
      </w:pPr>
    </w:p>
    <w:p w14:paraId="0000001D" w14:textId="77777777" w:rsidR="007672A8" w:rsidRDefault="006C137F">
      <w:pPr>
        <w:spacing w:line="240" w:lineRule="auto"/>
        <w:rPr>
          <w:b/>
          <w:i/>
          <w:color w:val="0E101A"/>
        </w:rPr>
      </w:pPr>
      <w:r>
        <w:rPr>
          <w:b/>
          <w:i/>
          <w:color w:val="0E101A"/>
        </w:rPr>
        <w:lastRenderedPageBreak/>
        <w:t>Students need to be practic</w:t>
      </w:r>
      <w:r>
        <w:rPr>
          <w:b/>
          <w:i/>
          <w:color w:val="0E101A"/>
        </w:rPr>
        <w:t>ally successful in the short term</w:t>
      </w:r>
    </w:p>
    <w:p w14:paraId="0000001E" w14:textId="0E317FF2" w:rsidR="007672A8" w:rsidRDefault="006C137F">
      <w:pPr>
        <w:spacing w:line="240" w:lineRule="auto"/>
        <w:rPr>
          <w:color w:val="0E101A"/>
        </w:rPr>
      </w:pPr>
      <w:r>
        <w:rPr>
          <w:color w:val="0E101A"/>
        </w:rPr>
        <w:t>Participants described a history where district-sanctioned curricula focused almost exclusively on the practical success of students. This focus often resulted in what participants referred to as direct instruction, such a</w:t>
      </w:r>
      <w:r>
        <w:rPr>
          <w:color w:val="0E101A"/>
        </w:rPr>
        <w:t xml:space="preserve">s spending </w:t>
      </w:r>
      <w:r w:rsidR="002F311B">
        <w:rPr>
          <w:color w:val="0E101A"/>
        </w:rPr>
        <w:t>most of the</w:t>
      </w:r>
      <w:r>
        <w:rPr>
          <w:color w:val="0E101A"/>
        </w:rPr>
        <w:t xml:space="preserve"> class at the front, lecturing, having their students copy, memorize, and regurgitate what the teachers wrote on the board, projector, or included in canvas. In addition, students had to answer the same way to pre-determined quest</w:t>
      </w:r>
      <w:r>
        <w:rPr>
          <w:color w:val="0E101A"/>
        </w:rPr>
        <w:t xml:space="preserve">ions and assignments. In their first years as educators, participants often described following those old curricula quite closely to ensure their students would pass </w:t>
      </w:r>
      <w:proofErr w:type="spellStart"/>
      <w:r>
        <w:rPr>
          <w:color w:val="0E101A"/>
        </w:rPr>
        <w:t>TNReady</w:t>
      </w:r>
      <w:proofErr w:type="spellEnd"/>
      <w:r>
        <w:rPr>
          <w:color w:val="0E101A"/>
        </w:rPr>
        <w:t xml:space="preserve"> and EOC exams. </w:t>
      </w:r>
    </w:p>
    <w:p w14:paraId="0000001F" w14:textId="77777777" w:rsidR="007672A8" w:rsidRDefault="007672A8">
      <w:pPr>
        <w:spacing w:line="240" w:lineRule="auto"/>
        <w:rPr>
          <w:color w:val="0E101A"/>
        </w:rPr>
      </w:pPr>
    </w:p>
    <w:p w14:paraId="15D7575E" w14:textId="77777777" w:rsidR="008A0014" w:rsidRDefault="006C137F">
      <w:pPr>
        <w:spacing w:line="240" w:lineRule="auto"/>
        <w:rPr>
          <w:color w:val="0E101A"/>
        </w:rPr>
      </w:pPr>
      <w:r>
        <w:rPr>
          <w:color w:val="0E101A"/>
        </w:rPr>
        <w:t>Participants outlined several different examples of where they fe</w:t>
      </w:r>
      <w:r>
        <w:rPr>
          <w:color w:val="0E101A"/>
        </w:rPr>
        <w:t>lt the new curricula did not address students’ needs to be practically successful</w:t>
      </w:r>
      <w:r>
        <w:rPr>
          <w:color w:val="0E101A"/>
        </w:rPr>
        <w:t>. Examples include</w:t>
      </w:r>
      <w:r>
        <w:rPr>
          <w:color w:val="0E101A"/>
        </w:rPr>
        <w:t xml:space="preserve"> a heavier emphasis on narrative essays, lack of built-in spiraling, and ignorance of classroom limitations (lack of experimental materials)</w:t>
      </w:r>
      <w:r>
        <w:rPr>
          <w:color w:val="0E101A"/>
        </w:rPr>
        <w:t xml:space="preserve">. </w:t>
      </w:r>
      <w:r w:rsidR="008A0014">
        <w:rPr>
          <w:color w:val="0E101A"/>
        </w:rPr>
        <w:t xml:space="preserve">The </w:t>
      </w:r>
      <w:r>
        <w:rPr>
          <w:color w:val="0E101A"/>
        </w:rPr>
        <w:t xml:space="preserve">three most significant issues for participants were </w:t>
      </w:r>
      <w:r>
        <w:rPr>
          <w:color w:val="0E101A"/>
        </w:rPr>
        <w:t xml:space="preserve">the </w:t>
      </w:r>
      <w:r w:rsidR="008A0014">
        <w:rPr>
          <w:color w:val="0E101A"/>
        </w:rPr>
        <w:t xml:space="preserve">following: </w:t>
      </w:r>
    </w:p>
    <w:p w14:paraId="4481BA76" w14:textId="77777777" w:rsidR="008A0014" w:rsidRDefault="008A0014" w:rsidP="008A0014">
      <w:pPr>
        <w:pStyle w:val="ListParagraph"/>
        <w:numPr>
          <w:ilvl w:val="0"/>
          <w:numId w:val="2"/>
        </w:numPr>
        <w:spacing w:line="240" w:lineRule="auto"/>
        <w:rPr>
          <w:color w:val="0E101A"/>
        </w:rPr>
      </w:pPr>
      <w:r>
        <w:rPr>
          <w:color w:val="0E101A"/>
        </w:rPr>
        <w:t xml:space="preserve">A </w:t>
      </w:r>
      <w:r w:rsidR="006C137F" w:rsidRPr="008A0014">
        <w:rPr>
          <w:color w:val="0E101A"/>
        </w:rPr>
        <w:t>lack of consistency between pacing guides and the new curricula</w:t>
      </w:r>
      <w:r w:rsidR="006C137F" w:rsidRPr="008A0014">
        <w:rPr>
          <w:color w:val="0E101A"/>
        </w:rPr>
        <w:t xml:space="preserve"> </w:t>
      </w:r>
    </w:p>
    <w:p w14:paraId="41A92E0E" w14:textId="77777777" w:rsidR="008A0014" w:rsidRDefault="008A0014" w:rsidP="008A0014">
      <w:pPr>
        <w:pStyle w:val="ListParagraph"/>
        <w:numPr>
          <w:ilvl w:val="0"/>
          <w:numId w:val="2"/>
        </w:numPr>
        <w:spacing w:line="240" w:lineRule="auto"/>
        <w:rPr>
          <w:color w:val="0E101A"/>
        </w:rPr>
      </w:pPr>
      <w:r>
        <w:rPr>
          <w:color w:val="0E101A"/>
        </w:rPr>
        <w:t>A</w:t>
      </w:r>
      <w:r w:rsidR="006C137F" w:rsidRPr="008A0014">
        <w:rPr>
          <w:color w:val="0E101A"/>
        </w:rPr>
        <w:t xml:space="preserve"> time conflict between the curricula </w:t>
      </w:r>
      <w:r w:rsidR="0034696D" w:rsidRPr="008A0014">
        <w:rPr>
          <w:color w:val="0E101A"/>
        </w:rPr>
        <w:t xml:space="preserve">materials </w:t>
      </w:r>
      <w:r w:rsidR="006C137F" w:rsidRPr="008A0014">
        <w:rPr>
          <w:color w:val="0E101A"/>
        </w:rPr>
        <w:t xml:space="preserve">and </w:t>
      </w:r>
      <w:r w:rsidR="0034696D" w:rsidRPr="008A0014">
        <w:rPr>
          <w:color w:val="0E101A"/>
        </w:rPr>
        <w:t>building-level (</w:t>
      </w:r>
      <w:r w:rsidRPr="008A0014">
        <w:rPr>
          <w:color w:val="0E101A"/>
        </w:rPr>
        <w:t xml:space="preserve">e.g., </w:t>
      </w:r>
      <w:r w:rsidR="0034696D" w:rsidRPr="008A0014">
        <w:rPr>
          <w:color w:val="0E101A"/>
        </w:rPr>
        <w:t>school calendar) or classroom constraints</w:t>
      </w:r>
      <w:r w:rsidRPr="008A0014">
        <w:rPr>
          <w:color w:val="0E101A"/>
        </w:rPr>
        <w:t xml:space="preserve"> (e.g., student social-emotional needs)</w:t>
      </w:r>
      <w:r w:rsidR="006C137F" w:rsidRPr="008A0014">
        <w:rPr>
          <w:color w:val="0E101A"/>
        </w:rPr>
        <w:t xml:space="preserve"> </w:t>
      </w:r>
    </w:p>
    <w:p w14:paraId="5FC221B4" w14:textId="77777777" w:rsidR="008A0014" w:rsidRDefault="008A0014" w:rsidP="008A0014">
      <w:pPr>
        <w:pStyle w:val="ListParagraph"/>
        <w:numPr>
          <w:ilvl w:val="0"/>
          <w:numId w:val="2"/>
        </w:numPr>
        <w:spacing w:line="240" w:lineRule="auto"/>
        <w:rPr>
          <w:color w:val="0E101A"/>
        </w:rPr>
      </w:pPr>
      <w:r>
        <w:rPr>
          <w:color w:val="0E101A"/>
        </w:rPr>
        <w:t>G</w:t>
      </w:r>
      <w:r w:rsidR="006C137F" w:rsidRPr="008A0014">
        <w:rPr>
          <w:color w:val="0E101A"/>
        </w:rPr>
        <w:t xml:space="preserve">aps between what the curricula cover and what is on state tests. </w:t>
      </w:r>
    </w:p>
    <w:p w14:paraId="00000020" w14:textId="42075CA6" w:rsidR="007672A8" w:rsidRPr="008A0014" w:rsidRDefault="006C137F" w:rsidP="008A0014">
      <w:pPr>
        <w:spacing w:line="240" w:lineRule="auto"/>
        <w:rPr>
          <w:color w:val="0E101A"/>
        </w:rPr>
      </w:pPr>
      <w:r w:rsidRPr="008A0014">
        <w:rPr>
          <w:color w:val="0E101A"/>
        </w:rPr>
        <w:t>These issues suggest that other forces—communication gaps, pacing guide errors, etc.—are constructing the new curricula as incompatible with what they f</w:t>
      </w:r>
      <w:r w:rsidRPr="008A0014">
        <w:rPr>
          <w:color w:val="0E101A"/>
        </w:rPr>
        <w:t>eel students should know to pass tests</w:t>
      </w:r>
      <w:r w:rsidRPr="008A0014">
        <w:rPr>
          <w:color w:val="0E101A"/>
        </w:rPr>
        <w:t xml:space="preserve"> for which they as instructors are held accountable.</w:t>
      </w:r>
    </w:p>
    <w:p w14:paraId="00000021" w14:textId="77777777" w:rsidR="007672A8" w:rsidRDefault="007672A8">
      <w:pPr>
        <w:spacing w:line="240" w:lineRule="auto"/>
        <w:rPr>
          <w:color w:val="0E101A"/>
        </w:rPr>
      </w:pPr>
    </w:p>
    <w:p w14:paraId="00000022" w14:textId="77777777" w:rsidR="007672A8" w:rsidRDefault="006C137F">
      <w:pPr>
        <w:spacing w:line="240" w:lineRule="auto"/>
        <w:rPr>
          <w:b/>
          <w:i/>
          <w:color w:val="0E101A"/>
        </w:rPr>
      </w:pPr>
      <w:r>
        <w:rPr>
          <w:b/>
          <w:i/>
          <w:color w:val="0E101A"/>
        </w:rPr>
        <w:t>Students need to be ideologically successful in the long term</w:t>
      </w:r>
    </w:p>
    <w:p w14:paraId="00000023" w14:textId="4DDDCC57" w:rsidR="007672A8" w:rsidRDefault="008A0014">
      <w:pPr>
        <w:spacing w:line="240" w:lineRule="auto"/>
        <w:rPr>
          <w:color w:val="0E101A"/>
        </w:rPr>
      </w:pPr>
      <w:r>
        <w:rPr>
          <w:color w:val="0E101A"/>
        </w:rPr>
        <w:t>Participants did</w:t>
      </w:r>
      <w:r w:rsidR="006C137F">
        <w:rPr>
          <w:color w:val="0E101A"/>
        </w:rPr>
        <w:t xml:space="preserve"> describe</w:t>
      </w:r>
      <w:r>
        <w:rPr>
          <w:color w:val="0E101A"/>
        </w:rPr>
        <w:t xml:space="preserve"> caring about</w:t>
      </w:r>
      <w:r w:rsidR="006C137F">
        <w:rPr>
          <w:color w:val="0E101A"/>
        </w:rPr>
        <w:t xml:space="preserve"> </w:t>
      </w:r>
      <w:r>
        <w:rPr>
          <w:color w:val="0E101A"/>
        </w:rPr>
        <w:t xml:space="preserve">ensuring students reach </w:t>
      </w:r>
      <w:r w:rsidR="006C137F">
        <w:rPr>
          <w:color w:val="0E101A"/>
        </w:rPr>
        <w:t>practical success</w:t>
      </w:r>
      <w:r>
        <w:rPr>
          <w:color w:val="0E101A"/>
        </w:rPr>
        <w:t>. However,</w:t>
      </w:r>
      <w:r w:rsidR="006C137F">
        <w:rPr>
          <w:color w:val="0E101A"/>
        </w:rPr>
        <w:t xml:space="preserve"> </w:t>
      </w:r>
      <w:r>
        <w:rPr>
          <w:color w:val="0E101A"/>
        </w:rPr>
        <w:t xml:space="preserve">their interview answers suggested their </w:t>
      </w:r>
      <w:r w:rsidR="006C137F">
        <w:rPr>
          <w:color w:val="0E101A"/>
        </w:rPr>
        <w:t xml:space="preserve">passion </w:t>
      </w:r>
      <w:r w:rsidR="006C137F">
        <w:rPr>
          <w:color w:val="0E101A"/>
        </w:rPr>
        <w:t xml:space="preserve">for teaching centered </w:t>
      </w:r>
      <w:r>
        <w:rPr>
          <w:color w:val="0E101A"/>
        </w:rPr>
        <w:t>around</w:t>
      </w:r>
      <w:r w:rsidR="006C137F">
        <w:rPr>
          <w:color w:val="0E101A"/>
        </w:rPr>
        <w:t xml:space="preserve"> getting students engaged in their own learning and helping them build life skills such as critical thinking and risk</w:t>
      </w:r>
      <w:r w:rsidR="00EC4FAE">
        <w:rPr>
          <w:color w:val="0E101A"/>
        </w:rPr>
        <w:t>-</w:t>
      </w:r>
      <w:r w:rsidR="006C137F">
        <w:rPr>
          <w:color w:val="0E101A"/>
        </w:rPr>
        <w:t>taking. This focus was coded as ideological success. Examples include teaching challenge-based learning and inviti</w:t>
      </w:r>
      <w:r w:rsidR="006C137F">
        <w:rPr>
          <w:color w:val="0E101A"/>
        </w:rPr>
        <w:t xml:space="preserve">ng students to choose their own topics about which to write. </w:t>
      </w:r>
    </w:p>
    <w:p w14:paraId="00000024" w14:textId="77777777" w:rsidR="007672A8" w:rsidRDefault="007672A8">
      <w:pPr>
        <w:spacing w:line="240" w:lineRule="auto"/>
        <w:rPr>
          <w:color w:val="0E101A"/>
        </w:rPr>
      </w:pPr>
    </w:p>
    <w:p w14:paraId="00000025" w14:textId="77777777" w:rsidR="007672A8" w:rsidRDefault="006C137F">
      <w:pPr>
        <w:spacing w:line="240" w:lineRule="auto"/>
        <w:rPr>
          <w:color w:val="0E101A"/>
        </w:rPr>
      </w:pPr>
      <w:r>
        <w:rPr>
          <w:color w:val="0E101A"/>
        </w:rPr>
        <w:t>Unlike their perceived disadvantages in preparing students for practical success, the new curricula received relatively favorable views from the participants for their heavier emphasis on ideol</w:t>
      </w:r>
      <w:r>
        <w:rPr>
          <w:color w:val="0E101A"/>
        </w:rPr>
        <w:t xml:space="preserve">ogical success. For the most part, </w:t>
      </w:r>
      <w:proofErr w:type="gramStart"/>
      <w:r>
        <w:rPr>
          <w:color w:val="0E101A"/>
        </w:rPr>
        <w:t>all of</w:t>
      </w:r>
      <w:proofErr w:type="gramEnd"/>
      <w:r>
        <w:rPr>
          <w:color w:val="0E101A"/>
        </w:rPr>
        <w:t xml:space="preserve"> the teachers said they believed the new math and ELA curricula did provide opportunities for students to engage in critical thinking, discussions, and problem-solving. Participants gave several examples of using a </w:t>
      </w:r>
      <w:r>
        <w:rPr>
          <w:color w:val="0E101A"/>
        </w:rPr>
        <w:t>unit, an assignment, or other materials from the curriculum that they felt explained a particular concept or fostered the desired learning outcome from students. That participants described using only bits and pieces of the curricula instead of wholesale a</w:t>
      </w:r>
      <w:r>
        <w:rPr>
          <w:color w:val="0E101A"/>
        </w:rPr>
        <w:t xml:space="preserve">doption suggests they view material supplemental to the ideological curriculum they have already developed. In other words, a curriculum may have </w:t>
      </w:r>
      <w:r>
        <w:rPr>
          <w:color w:val="0E101A"/>
        </w:rPr>
        <w:lastRenderedPageBreak/>
        <w:t xml:space="preserve">advantages over the old one, but </w:t>
      </w:r>
      <w:proofErr w:type="gramStart"/>
      <w:r>
        <w:rPr>
          <w:color w:val="0E101A"/>
        </w:rPr>
        <w:t>overall</w:t>
      </w:r>
      <w:proofErr w:type="gramEnd"/>
      <w:r>
        <w:rPr>
          <w:color w:val="0E101A"/>
        </w:rPr>
        <w:t xml:space="preserve"> it is not more advantageous in its entirety than what teachers create</w:t>
      </w:r>
      <w:r>
        <w:rPr>
          <w:color w:val="0E101A"/>
        </w:rPr>
        <w:t>d.</w:t>
      </w:r>
    </w:p>
    <w:p w14:paraId="00000026" w14:textId="77777777" w:rsidR="007672A8" w:rsidRDefault="007672A8">
      <w:pPr>
        <w:spacing w:line="240" w:lineRule="auto"/>
        <w:rPr>
          <w:color w:val="0E101A"/>
        </w:rPr>
      </w:pPr>
    </w:p>
    <w:p w14:paraId="00000027" w14:textId="08FF8C32" w:rsidR="007672A8" w:rsidRDefault="006C137F">
      <w:pPr>
        <w:spacing w:line="240" w:lineRule="auto"/>
        <w:rPr>
          <w:color w:val="0E101A"/>
        </w:rPr>
      </w:pPr>
      <w:r>
        <w:rPr>
          <w:color w:val="0E101A"/>
        </w:rPr>
        <w:t xml:space="preserve">The participants did seem to agree that following the new curricula could be useful for newer or perhaps </w:t>
      </w:r>
      <w:proofErr w:type="gramStart"/>
      <w:r>
        <w:rPr>
          <w:color w:val="0E101A"/>
        </w:rPr>
        <w:t>less</w:t>
      </w:r>
      <w:proofErr w:type="gramEnd"/>
      <w:r>
        <w:rPr>
          <w:color w:val="0E101A"/>
        </w:rPr>
        <w:t xml:space="preserve"> effective teachers than themselves. One exception to this consensus was a participant who expressed closely adhering to the new district-sanct</w:t>
      </w:r>
      <w:r>
        <w:rPr>
          <w:color w:val="0E101A"/>
        </w:rPr>
        <w:t xml:space="preserve">ioned curriculum because they felt it freed them from having to develop materials and they could focus solely on in-classroom instruction. They felt the new curriculum was a welcome replacement to the materials they were creating or searching for that did </w:t>
      </w:r>
      <w:r>
        <w:rPr>
          <w:color w:val="0E101A"/>
        </w:rPr>
        <w:t xml:space="preserve">not teach students to discuss, engage, and create. While this idea suggests </w:t>
      </w:r>
      <w:r>
        <w:rPr>
          <w:color w:val="0E101A"/>
        </w:rPr>
        <w:t xml:space="preserve">the curriculum is performing </w:t>
      </w:r>
      <w:r w:rsidR="00EC4FAE">
        <w:rPr>
          <w:color w:val="0E101A"/>
        </w:rPr>
        <w:t>according to</w:t>
      </w:r>
      <w:r>
        <w:rPr>
          <w:color w:val="0E101A"/>
        </w:rPr>
        <w:t xml:space="preserve"> district</w:t>
      </w:r>
      <w:r w:rsidR="00EC4FAE">
        <w:rPr>
          <w:color w:val="0E101A"/>
        </w:rPr>
        <w:t xml:space="preserve"> expectations</w:t>
      </w:r>
      <w:r>
        <w:rPr>
          <w:color w:val="0E101A"/>
        </w:rPr>
        <w:t>, the results indicate that this participant was the only one of the interviewees who had not developed their ideolog</w:t>
      </w:r>
      <w:r>
        <w:rPr>
          <w:color w:val="0E101A"/>
        </w:rPr>
        <w:t>ical course yet. They may not be a “new” teacher in the practical sense; however, the point at which they became aware of the need to teach ideological success, realized old curricula excluded it, and began creating their material to address that gap posit</w:t>
      </w:r>
      <w:r>
        <w:rPr>
          <w:color w:val="0E101A"/>
        </w:rPr>
        <w:t xml:space="preserve">ions this participant ideologically as among the newer teachers. This </w:t>
      </w:r>
      <w:r w:rsidR="00EC4FAE">
        <w:rPr>
          <w:color w:val="0E101A"/>
        </w:rPr>
        <w:t xml:space="preserve">finding </w:t>
      </w:r>
      <w:r>
        <w:rPr>
          <w:color w:val="0E101A"/>
        </w:rPr>
        <w:t>suggests that while the new curricula are seen as ideologically compatible with effective teaching practice, effective teachers are not seeing the advantage of completely replacing a pra</w:t>
      </w:r>
      <w:r>
        <w:rPr>
          <w:color w:val="0E101A"/>
        </w:rPr>
        <w:t>ctice they have seen teach students ideological success.</w:t>
      </w:r>
    </w:p>
    <w:p w14:paraId="00000028" w14:textId="77777777" w:rsidR="007672A8" w:rsidRDefault="007672A8">
      <w:pPr>
        <w:spacing w:line="240" w:lineRule="auto"/>
        <w:rPr>
          <w:color w:val="0E101A"/>
        </w:rPr>
      </w:pPr>
    </w:p>
    <w:p w14:paraId="00000029" w14:textId="77777777" w:rsidR="007672A8" w:rsidRDefault="006C137F">
      <w:pPr>
        <w:spacing w:line="240" w:lineRule="auto"/>
        <w:rPr>
          <w:b/>
          <w:i/>
          <w:color w:val="0E101A"/>
        </w:rPr>
      </w:pPr>
      <w:r>
        <w:rPr>
          <w:b/>
          <w:i/>
          <w:color w:val="0E101A"/>
        </w:rPr>
        <w:t>The classroom must be an effective learning environment</w:t>
      </w:r>
    </w:p>
    <w:p w14:paraId="0000002A" w14:textId="77777777" w:rsidR="007672A8" w:rsidRDefault="006C137F">
      <w:pPr>
        <w:spacing w:line="240" w:lineRule="auto"/>
        <w:rPr>
          <w:color w:val="0E101A"/>
        </w:rPr>
      </w:pPr>
      <w:r>
        <w:rPr>
          <w:color w:val="0E101A"/>
        </w:rPr>
        <w:t>Participants spent a large portion of the interviews discussing how they addressed what became coded as the need for the classroom to be an effective learning environment. Participants described how their evolving teaching practice included building time i</w:t>
      </w:r>
      <w:r>
        <w:rPr>
          <w:color w:val="0E101A"/>
        </w:rPr>
        <w:t>nto the semester for regular conversations, consistent check-ins with students, and other tasks that focused on the social-emotional needs of students. Committing to these social-emotional needs of the students increases student trust in the teachers and e</w:t>
      </w:r>
      <w:r>
        <w:rPr>
          <w:color w:val="0E101A"/>
        </w:rPr>
        <w:t xml:space="preserve">ncourages students to engage in their learning. What is more, regular communication with the students enables participants to tailor their teaching, scaffolding, and in-the-moment assessments of each student. Such assessments include exit tickets, student </w:t>
      </w:r>
      <w:r>
        <w:rPr>
          <w:color w:val="0E101A"/>
        </w:rPr>
        <w:t>discussions, walkthroughs, and conversations to hear where and how students are making sense of the lessons and concepts. In short, a teacher’s everyday work deepens their knowledge of diverse educational contexts, which, in turn, determines their pedagogi</w:t>
      </w:r>
      <w:r>
        <w:rPr>
          <w:color w:val="0E101A"/>
        </w:rPr>
        <w:t xml:space="preserve">cal strategies and actions. </w:t>
      </w:r>
    </w:p>
    <w:p w14:paraId="0000002B" w14:textId="77777777" w:rsidR="007672A8" w:rsidRDefault="007672A8">
      <w:pPr>
        <w:spacing w:line="240" w:lineRule="auto"/>
        <w:rPr>
          <w:color w:val="0E101A"/>
        </w:rPr>
      </w:pPr>
    </w:p>
    <w:p w14:paraId="0000002C" w14:textId="77777777" w:rsidR="007672A8" w:rsidRDefault="006C137F">
      <w:pPr>
        <w:spacing w:line="240" w:lineRule="auto"/>
        <w:rPr>
          <w:color w:val="0E101A"/>
        </w:rPr>
      </w:pPr>
      <w:r>
        <w:rPr>
          <w:color w:val="0E101A"/>
        </w:rPr>
        <w:t>In contrast, participants expressed concern over the curricula’s (as well as the pacing guide) apparent lack of acknowledgment of these nuances in teaching. Participants described the exclusion of details such as building time</w:t>
      </w:r>
      <w:r>
        <w:rPr>
          <w:color w:val="0E101A"/>
        </w:rPr>
        <w:t xml:space="preserve"> to set expectations at the beginning of the semester. Additionally, they indicated confusion over how a scripted curriculum with a specified set of assessment types would account for the subtle differences among students’ experiences in the classroom or t</w:t>
      </w:r>
      <w:r>
        <w:rPr>
          <w:color w:val="0E101A"/>
        </w:rPr>
        <w:t xml:space="preserve">o reach every child. It </w:t>
      </w:r>
      <w:r>
        <w:rPr>
          <w:color w:val="0E101A"/>
        </w:rPr>
        <w:lastRenderedPageBreak/>
        <w:t xml:space="preserve">comes across as assuming that students are isolated in a vacuum as individuals, not as part of a social collective embedded in all sorts of different, converging, and conflicting contexts. </w:t>
      </w:r>
    </w:p>
    <w:p w14:paraId="0000002D" w14:textId="77777777" w:rsidR="007672A8" w:rsidRDefault="007672A8">
      <w:pPr>
        <w:spacing w:line="240" w:lineRule="auto"/>
        <w:rPr>
          <w:color w:val="0E101A"/>
        </w:rPr>
      </w:pPr>
    </w:p>
    <w:p w14:paraId="0000002E" w14:textId="77777777" w:rsidR="007672A8" w:rsidRDefault="006C137F">
      <w:pPr>
        <w:spacing w:line="240" w:lineRule="auto"/>
        <w:rPr>
          <w:b/>
          <w:i/>
          <w:color w:val="0E101A"/>
        </w:rPr>
      </w:pPr>
      <w:r>
        <w:rPr>
          <w:b/>
          <w:i/>
          <w:color w:val="0E101A"/>
        </w:rPr>
        <w:t>Teachers need to refine and hone their pr</w:t>
      </w:r>
      <w:r>
        <w:rPr>
          <w:b/>
          <w:i/>
          <w:color w:val="0E101A"/>
        </w:rPr>
        <w:t>actice</w:t>
      </w:r>
    </w:p>
    <w:p w14:paraId="0000002F" w14:textId="0130B8FB" w:rsidR="007672A8" w:rsidRDefault="006C137F">
      <w:pPr>
        <w:spacing w:line="240" w:lineRule="auto"/>
        <w:rPr>
          <w:color w:val="0E101A"/>
        </w:rPr>
      </w:pPr>
      <w:r>
        <w:rPr>
          <w:color w:val="0E101A"/>
        </w:rPr>
        <w:t xml:space="preserve">The three themes above led to the development of the final theme: the participants’ need to refine and hone their teaching practice. </w:t>
      </w:r>
      <w:r w:rsidR="00EC4FAE" w:rsidRPr="00EC4FAE">
        <w:rPr>
          <w:color w:val="0E101A"/>
        </w:rPr>
        <w:t xml:space="preserve">They described feeling most effective when they could teach and manage the classroom so that their students felt excited to learn and engage, developed critical thinking and other life skills, and ultimately passed the state assessments. </w:t>
      </w:r>
      <w:r>
        <w:rPr>
          <w:color w:val="0E101A"/>
        </w:rPr>
        <w:t>Finding and maintaining this balance is acquired through experience and passion and shaped by varying contexts and externa</w:t>
      </w:r>
      <w:r>
        <w:rPr>
          <w:color w:val="0E101A"/>
        </w:rPr>
        <w:t xml:space="preserve">l influences. In outlining their progression as teachers, the participants reported the benefits of even the old curricula as guides to which they more closely adhered when they were new to the job. This </w:t>
      </w:r>
      <w:r w:rsidR="00EC4FAE">
        <w:rPr>
          <w:color w:val="0E101A"/>
        </w:rPr>
        <w:t xml:space="preserve">sentiment </w:t>
      </w:r>
      <w:r>
        <w:rPr>
          <w:color w:val="0E101A"/>
        </w:rPr>
        <w:t>aligned with their primary concern as educators with</w:t>
      </w:r>
      <w:r>
        <w:rPr>
          <w:color w:val="0E101A"/>
        </w:rPr>
        <w:t xml:space="preserve"> ensuring they were preparing their students to pass state tests, for which they are held accountable (via TVAAS and other metrics). As the participants gained experience over the years, they spoke of relying less on direct instruction and more on their gr</w:t>
      </w:r>
      <w:r>
        <w:rPr>
          <w:color w:val="0E101A"/>
        </w:rPr>
        <w:t>owing ability to interpret and transform such subject-matter knowledge in facilitating student learning. An example of this process is slowly switching out old curriculum materials for their own lessons, activities and assignments, and assessments. Approac</w:t>
      </w:r>
      <w:r>
        <w:rPr>
          <w:color w:val="0E101A"/>
        </w:rPr>
        <w:t xml:space="preserve">hing this finding from the understanding that the participants do see a curriculum as one crucial part of their knowledge base for teaching provides an entry point for the new curriculum as a means by which </w:t>
      </w:r>
      <w:r w:rsidR="00EC4FAE">
        <w:rPr>
          <w:color w:val="0E101A"/>
        </w:rPr>
        <w:t>teachers</w:t>
      </w:r>
      <w:r w:rsidR="006F44E6">
        <w:rPr>
          <w:color w:val="0E101A"/>
        </w:rPr>
        <w:t xml:space="preserve"> can</w:t>
      </w:r>
      <w:r>
        <w:rPr>
          <w:color w:val="0E101A"/>
        </w:rPr>
        <w:t xml:space="preserve"> deepen that knowledge base </w:t>
      </w:r>
      <w:r w:rsidR="006F44E6">
        <w:rPr>
          <w:color w:val="0E101A"/>
        </w:rPr>
        <w:t>if</w:t>
      </w:r>
      <w:r>
        <w:rPr>
          <w:color w:val="0E101A"/>
        </w:rPr>
        <w:t xml:space="preserve"> messagin</w:t>
      </w:r>
      <w:r>
        <w:rPr>
          <w:color w:val="0E101A"/>
        </w:rPr>
        <w:t xml:space="preserve">g does not suggest it is to replace it entirely. </w:t>
      </w:r>
    </w:p>
    <w:p w14:paraId="00000030" w14:textId="77777777" w:rsidR="007672A8" w:rsidRDefault="006C137F">
      <w:pPr>
        <w:pStyle w:val="Heading2"/>
        <w:spacing w:line="240" w:lineRule="auto"/>
        <w:jc w:val="center"/>
      </w:pPr>
      <w:bookmarkStart w:id="5" w:name="_4iae156fv14y" w:colFirst="0" w:colLast="0"/>
      <w:bookmarkEnd w:id="5"/>
      <w:r>
        <w:t>Future Directions</w:t>
      </w:r>
    </w:p>
    <w:p w14:paraId="00000031" w14:textId="77777777" w:rsidR="007672A8" w:rsidRDefault="006C137F">
      <w:pPr>
        <w:spacing w:line="240" w:lineRule="auto"/>
        <w:rPr>
          <w:color w:val="0E101A"/>
        </w:rPr>
      </w:pPr>
      <w:r>
        <w:rPr>
          <w:color w:val="0E101A"/>
        </w:rPr>
        <w:t xml:space="preserve">In response to teachers’ perceptions and experiences, REA offers the following suggestions below. This is by no means an exhaustive list; however, it does provide some possible directions </w:t>
      </w:r>
      <w:r>
        <w:rPr>
          <w:color w:val="0E101A"/>
        </w:rPr>
        <w:t>moving forward.</w:t>
      </w:r>
    </w:p>
    <w:p w14:paraId="00000032" w14:textId="77777777" w:rsidR="007672A8" w:rsidRDefault="006C137F">
      <w:pPr>
        <w:numPr>
          <w:ilvl w:val="0"/>
          <w:numId w:val="1"/>
        </w:numPr>
        <w:spacing w:line="240" w:lineRule="auto"/>
      </w:pPr>
      <w:r>
        <w:rPr>
          <w:color w:val="0E101A"/>
        </w:rPr>
        <w:t xml:space="preserve">Determine and clearly define the parameters of teachers’ acceptable level of curriculum adoption. </w:t>
      </w:r>
    </w:p>
    <w:p w14:paraId="00000033" w14:textId="4DF1F74A" w:rsidR="007672A8" w:rsidRDefault="006F44E6">
      <w:pPr>
        <w:numPr>
          <w:ilvl w:val="1"/>
          <w:numId w:val="1"/>
        </w:numPr>
        <w:spacing w:line="240" w:lineRule="auto"/>
      </w:pPr>
      <w:r>
        <w:t>R</w:t>
      </w:r>
      <w:r w:rsidR="006C137F">
        <w:t xml:space="preserve">ecognizing that contextual variables (teacher inexperience, classroom management, class size, class length, etc.) </w:t>
      </w:r>
      <w:r>
        <w:t>can impede</w:t>
      </w:r>
      <w:r w:rsidR="006C137F">
        <w:t xml:space="preserve"> full adoption, what </w:t>
      </w:r>
      <w:r>
        <w:t>priorities</w:t>
      </w:r>
      <w:r w:rsidR="006C137F">
        <w:t xml:space="preserve"> </w:t>
      </w:r>
      <w:r>
        <w:t xml:space="preserve">of adoption can the district be </w:t>
      </w:r>
      <w:r w:rsidR="006C137F">
        <w:t xml:space="preserve">willing </w:t>
      </w:r>
      <w:r>
        <w:t>lose,</w:t>
      </w:r>
      <w:r w:rsidR="006C137F">
        <w:t xml:space="preserve"> and what </w:t>
      </w:r>
      <w:r>
        <w:t>will it</w:t>
      </w:r>
      <w:r w:rsidR="006C137F">
        <w:t xml:space="preserve"> not compromise on? </w:t>
      </w:r>
      <w:r>
        <w:t>How will t</w:t>
      </w:r>
      <w:r w:rsidR="006C137F">
        <w:t xml:space="preserve">he teachers’ </w:t>
      </w:r>
      <w:r>
        <w:t>concerns</w:t>
      </w:r>
      <w:r w:rsidR="006C137F">
        <w:t xml:space="preserve"> with the new curriculum</w:t>
      </w:r>
      <w:r>
        <w:t xml:space="preserve"> be identified</w:t>
      </w:r>
      <w:r w:rsidR="006C137F">
        <w:t xml:space="preserve">, and what will </w:t>
      </w:r>
      <w:r>
        <w:t>the district</w:t>
      </w:r>
      <w:r w:rsidR="006C137F">
        <w:t xml:space="preserve"> do to help them meet that pre-defined acceptable level of adoption?</w:t>
      </w:r>
    </w:p>
    <w:p w14:paraId="00000034" w14:textId="7FCADCF5" w:rsidR="007672A8" w:rsidRDefault="006C137F" w:rsidP="003F7D22">
      <w:pPr>
        <w:numPr>
          <w:ilvl w:val="1"/>
          <w:numId w:val="1"/>
        </w:numPr>
        <w:spacing w:line="240" w:lineRule="auto"/>
      </w:pPr>
      <w:r>
        <w:rPr>
          <w:color w:val="0E101A"/>
        </w:rPr>
        <w:t xml:space="preserve">For example, some teachers </w:t>
      </w:r>
      <w:r w:rsidR="006F44E6">
        <w:rPr>
          <w:color w:val="0E101A"/>
        </w:rPr>
        <w:t>struggle with</w:t>
      </w:r>
      <w:r>
        <w:rPr>
          <w:color w:val="0E101A"/>
        </w:rPr>
        <w:t xml:space="preserve"> how much personal material they </w:t>
      </w:r>
      <w:r w:rsidR="006F44E6">
        <w:rPr>
          <w:color w:val="0E101A"/>
        </w:rPr>
        <w:t>could no longer use</w:t>
      </w:r>
      <w:r>
        <w:rPr>
          <w:color w:val="0E101A"/>
        </w:rPr>
        <w:t>. How will you co</w:t>
      </w:r>
      <w:r>
        <w:rPr>
          <w:color w:val="0E101A"/>
        </w:rPr>
        <w:t xml:space="preserve">mmunicate to them that they will gain more as teachers (such as the opportunity to develop their </w:t>
      </w:r>
      <w:r>
        <w:rPr>
          <w:color w:val="0E101A"/>
        </w:rPr>
        <w:lastRenderedPageBreak/>
        <w:t xml:space="preserve">teaching practice further) by adopting the new curriculum than they would lose by adopting it?   </w:t>
      </w:r>
    </w:p>
    <w:p w14:paraId="00000035" w14:textId="53C49335" w:rsidR="007672A8" w:rsidRDefault="006C137F">
      <w:pPr>
        <w:numPr>
          <w:ilvl w:val="0"/>
          <w:numId w:val="1"/>
        </w:numPr>
        <w:spacing w:line="240" w:lineRule="auto"/>
      </w:pPr>
      <w:r>
        <w:rPr>
          <w:color w:val="0E101A"/>
        </w:rPr>
        <w:t>Conduct interviews with teachers across a broader range of ef</w:t>
      </w:r>
      <w:r>
        <w:rPr>
          <w:color w:val="0E101A"/>
        </w:rPr>
        <w:t xml:space="preserve">fectiveness to determine if their concerns align </w:t>
      </w:r>
      <w:r>
        <w:rPr>
          <w:color w:val="0E101A"/>
        </w:rPr>
        <w:t>with</w:t>
      </w:r>
      <w:r w:rsidR="003F7D22">
        <w:rPr>
          <w:color w:val="0E101A"/>
        </w:rPr>
        <w:t xml:space="preserve"> or differ from</w:t>
      </w:r>
      <w:r>
        <w:rPr>
          <w:color w:val="0E101A"/>
        </w:rPr>
        <w:t xml:space="preserve"> themes developed </w:t>
      </w:r>
      <w:r w:rsidR="003F7D22">
        <w:rPr>
          <w:color w:val="0E101A"/>
        </w:rPr>
        <w:t>in</w:t>
      </w:r>
      <w:r>
        <w:rPr>
          <w:color w:val="0E101A"/>
        </w:rPr>
        <w:t xml:space="preserve"> this study. Findings will aid in honing communication strategies for future curriculum adoptions.</w:t>
      </w:r>
    </w:p>
    <w:p w14:paraId="00000036" w14:textId="3ACD9736" w:rsidR="007672A8" w:rsidRDefault="006C137F">
      <w:pPr>
        <w:numPr>
          <w:ilvl w:val="0"/>
          <w:numId w:val="1"/>
        </w:numPr>
        <w:spacing w:line="240" w:lineRule="auto"/>
      </w:pPr>
      <w:r>
        <w:rPr>
          <w:color w:val="0E101A"/>
        </w:rPr>
        <w:t>Conduct interviews with teachers that explore</w:t>
      </w:r>
      <w:r>
        <w:rPr>
          <w:color w:val="0E101A"/>
        </w:rPr>
        <w:t xml:space="preserve"> how they know when they can trust t</w:t>
      </w:r>
      <w:r>
        <w:rPr>
          <w:color w:val="0E101A"/>
        </w:rPr>
        <w:t xml:space="preserve">hat the </w:t>
      </w:r>
      <w:proofErr w:type="gramStart"/>
      <w:r>
        <w:rPr>
          <w:color w:val="0E101A"/>
        </w:rPr>
        <w:t>materials</w:t>
      </w:r>
      <w:proofErr w:type="gramEnd"/>
      <w:r>
        <w:rPr>
          <w:color w:val="0E101A"/>
        </w:rPr>
        <w:t xml:space="preserve"> they create are effective.</w:t>
      </w:r>
      <w:r w:rsidR="00667378">
        <w:rPr>
          <w:color w:val="0E101A"/>
        </w:rPr>
        <w:t xml:space="preserve"> Findings from this set of interviews can aid in crafting messaging with which teachers can more easily identify. </w:t>
      </w:r>
    </w:p>
    <w:p w14:paraId="00000037" w14:textId="77777777" w:rsidR="007672A8" w:rsidRDefault="007672A8">
      <w:pPr>
        <w:spacing w:line="240" w:lineRule="auto"/>
      </w:pPr>
    </w:p>
    <w:sectPr w:rsidR="007672A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538C" w14:textId="77777777" w:rsidR="006C137F" w:rsidRDefault="006C137F" w:rsidP="004C3A9B">
      <w:pPr>
        <w:spacing w:line="240" w:lineRule="auto"/>
      </w:pPr>
      <w:r>
        <w:separator/>
      </w:r>
    </w:p>
  </w:endnote>
  <w:endnote w:type="continuationSeparator" w:id="0">
    <w:p w14:paraId="15B6B6DD" w14:textId="77777777" w:rsidR="006C137F" w:rsidRDefault="006C137F" w:rsidP="004C3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AD78" w14:textId="77777777" w:rsidR="006C137F" w:rsidRDefault="006C137F" w:rsidP="004C3A9B">
      <w:pPr>
        <w:spacing w:line="240" w:lineRule="auto"/>
      </w:pPr>
      <w:r>
        <w:separator/>
      </w:r>
    </w:p>
  </w:footnote>
  <w:footnote w:type="continuationSeparator" w:id="0">
    <w:p w14:paraId="3DEB2C78" w14:textId="77777777" w:rsidR="006C137F" w:rsidRDefault="006C137F" w:rsidP="004C3A9B">
      <w:pPr>
        <w:spacing w:line="240" w:lineRule="auto"/>
      </w:pPr>
      <w:r>
        <w:continuationSeparator/>
      </w:r>
    </w:p>
  </w:footnote>
  <w:footnote w:id="1">
    <w:p w14:paraId="6FBFC16B" w14:textId="1DA2957F" w:rsidR="005522E7" w:rsidRPr="005522E7" w:rsidRDefault="005522E7" w:rsidP="005522E7">
      <w:pPr>
        <w:pStyle w:val="Footer"/>
        <w:rPr>
          <w:sz w:val="16"/>
          <w:szCs w:val="16"/>
          <w:lang w:val="en-US"/>
        </w:rPr>
      </w:pPr>
      <w:r>
        <w:rPr>
          <w:rStyle w:val="FootnoteReference"/>
        </w:rPr>
        <w:footnoteRef/>
      </w:r>
      <w:r>
        <w:t xml:space="preserve"> </w:t>
      </w:r>
      <w:proofErr w:type="spellStart"/>
      <w:r w:rsidRPr="004C3A9B">
        <w:rPr>
          <w:sz w:val="16"/>
          <w:szCs w:val="16"/>
          <w:lang w:val="en-US"/>
        </w:rPr>
        <w:t>Dingfelder</w:t>
      </w:r>
      <w:proofErr w:type="spellEnd"/>
      <w:r w:rsidRPr="004C3A9B">
        <w:rPr>
          <w:sz w:val="16"/>
          <w:szCs w:val="16"/>
          <w:lang w:val="en-US"/>
        </w:rPr>
        <w:t>, H. E., &amp; Mandell, D. S. (2011). Bridging the research-to-practice gap in autism intervention: An application of diffusion of innovation theory. </w:t>
      </w:r>
      <w:r w:rsidRPr="004C3A9B">
        <w:rPr>
          <w:i/>
          <w:iCs/>
          <w:sz w:val="16"/>
          <w:szCs w:val="16"/>
          <w:lang w:val="en-US"/>
        </w:rPr>
        <w:t>Journal of autism and developmental disorders</w:t>
      </w:r>
      <w:r w:rsidRPr="004C3A9B">
        <w:rPr>
          <w:sz w:val="16"/>
          <w:szCs w:val="16"/>
          <w:lang w:val="en-US"/>
        </w:rPr>
        <w:t>, </w:t>
      </w:r>
      <w:r w:rsidRPr="004C3A9B">
        <w:rPr>
          <w:i/>
          <w:iCs/>
          <w:sz w:val="16"/>
          <w:szCs w:val="16"/>
          <w:lang w:val="en-US"/>
        </w:rPr>
        <w:t>41</w:t>
      </w:r>
      <w:r w:rsidRPr="004C3A9B">
        <w:rPr>
          <w:sz w:val="16"/>
          <w:szCs w:val="16"/>
          <w:lang w:val="en-US"/>
        </w:rPr>
        <w:t>(5), 597-609.</w:t>
      </w:r>
    </w:p>
  </w:footnote>
  <w:footnote w:id="2">
    <w:p w14:paraId="5E15C178" w14:textId="6A14ECB6" w:rsidR="005522E7" w:rsidRPr="005522E7" w:rsidRDefault="005522E7">
      <w:pPr>
        <w:pStyle w:val="FootnoteText"/>
        <w:rPr>
          <w:lang w:val="en-US"/>
        </w:rPr>
      </w:pPr>
      <w:r>
        <w:rPr>
          <w:rStyle w:val="FootnoteReference"/>
        </w:rPr>
        <w:footnoteRef/>
      </w:r>
      <w:r>
        <w:t xml:space="preserve"> </w:t>
      </w:r>
      <w:r>
        <w:rPr>
          <w:rFonts w:ascii="Times New Roman" w:hAnsi="Times New Roman" w:cs="Times New Roman"/>
          <w:sz w:val="18"/>
          <w:szCs w:val="18"/>
          <w:lang w:val="en-US"/>
        </w:rPr>
        <w:t>Rogers, EM. Diffusion of innovations. 5. New York: Free Press; 2003.</w:t>
      </w:r>
    </w:p>
  </w:footnote>
  <w:footnote w:id="3">
    <w:p w14:paraId="1D62B941" w14:textId="77777777" w:rsidR="002472E3" w:rsidRPr="002472E3" w:rsidRDefault="002472E3" w:rsidP="002472E3">
      <w:pPr>
        <w:pStyle w:val="FootnoteText"/>
        <w:rPr>
          <w:sz w:val="16"/>
          <w:szCs w:val="16"/>
          <w:lang w:val="en-US"/>
        </w:rPr>
      </w:pPr>
      <w:r w:rsidRPr="002472E3">
        <w:rPr>
          <w:rStyle w:val="FootnoteReference"/>
          <w:sz w:val="16"/>
          <w:szCs w:val="16"/>
        </w:rPr>
        <w:footnoteRef/>
      </w:r>
      <w:r w:rsidRPr="002472E3">
        <w:rPr>
          <w:sz w:val="16"/>
          <w:szCs w:val="16"/>
        </w:rPr>
        <w:t xml:space="preserve"> </w:t>
      </w:r>
      <w:proofErr w:type="spellStart"/>
      <w:r w:rsidRPr="002472E3">
        <w:rPr>
          <w:sz w:val="16"/>
          <w:szCs w:val="16"/>
          <w:lang w:val="en-US"/>
        </w:rPr>
        <w:t>Saldaña</w:t>
      </w:r>
      <w:proofErr w:type="spellEnd"/>
      <w:r w:rsidRPr="002472E3">
        <w:rPr>
          <w:sz w:val="16"/>
          <w:szCs w:val="16"/>
          <w:lang w:val="en-US"/>
        </w:rPr>
        <w:t>, J. (2021). </w:t>
      </w:r>
      <w:r w:rsidRPr="002472E3">
        <w:rPr>
          <w:i/>
          <w:iCs/>
          <w:sz w:val="16"/>
          <w:szCs w:val="16"/>
          <w:lang w:val="en-US"/>
        </w:rPr>
        <w:t>The coding manual for qualitative researchers</w:t>
      </w:r>
      <w:r w:rsidRPr="002472E3">
        <w:rPr>
          <w:sz w:val="16"/>
          <w:szCs w:val="16"/>
          <w:lang w:val="en-US"/>
        </w:rPr>
        <w:t>. sage.</w:t>
      </w:r>
    </w:p>
    <w:p w14:paraId="7D9BA097" w14:textId="6F69A27D" w:rsidR="002472E3" w:rsidRPr="002472E3" w:rsidRDefault="002472E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9B0"/>
    <w:multiLevelType w:val="multilevel"/>
    <w:tmpl w:val="4C34DC44"/>
    <w:lvl w:ilvl="0">
      <w:start w:val="1"/>
      <w:numFmt w:val="bullet"/>
      <w:lvlText w:val="●"/>
      <w:lvlJc w:val="left"/>
      <w:pPr>
        <w:ind w:left="720" w:hanging="360"/>
      </w:pPr>
      <w:rPr>
        <w:color w:val="0E101A"/>
        <w:u w:val="none"/>
      </w:rPr>
    </w:lvl>
    <w:lvl w:ilvl="1">
      <w:start w:val="1"/>
      <w:numFmt w:val="bullet"/>
      <w:lvlText w:val="●"/>
      <w:lvlJc w:val="left"/>
      <w:pPr>
        <w:ind w:left="1440" w:hanging="360"/>
      </w:pPr>
      <w:rPr>
        <w:color w:val="0E101A"/>
        <w:u w:val="none"/>
      </w:rPr>
    </w:lvl>
    <w:lvl w:ilvl="2">
      <w:start w:val="1"/>
      <w:numFmt w:val="bullet"/>
      <w:lvlText w:val="●"/>
      <w:lvlJc w:val="left"/>
      <w:pPr>
        <w:ind w:left="2160" w:hanging="360"/>
      </w:pPr>
      <w:rPr>
        <w:color w:val="0E101A"/>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436517"/>
    <w:multiLevelType w:val="hybridMultilevel"/>
    <w:tmpl w:val="97B21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A8"/>
    <w:rsid w:val="002472E3"/>
    <w:rsid w:val="002F311B"/>
    <w:rsid w:val="0034696D"/>
    <w:rsid w:val="003F7D22"/>
    <w:rsid w:val="004C3A9B"/>
    <w:rsid w:val="005522E7"/>
    <w:rsid w:val="00667378"/>
    <w:rsid w:val="006C137F"/>
    <w:rsid w:val="006F44E6"/>
    <w:rsid w:val="007672A8"/>
    <w:rsid w:val="00767D9A"/>
    <w:rsid w:val="00852EF3"/>
    <w:rsid w:val="008A0014"/>
    <w:rsid w:val="00A9055A"/>
    <w:rsid w:val="00BB56E4"/>
    <w:rsid w:val="00DD6CF5"/>
    <w:rsid w:val="00EC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D534F"/>
  <w15:docId w15:val="{B9CF109B-5E26-DB47-B205-E0600A1E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erif" w:eastAsia="PT Serif" w:hAnsi="PT Serif" w:cs="PT Serif"/>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8A0014"/>
    <w:pPr>
      <w:ind w:left="720"/>
      <w:contextualSpacing/>
    </w:pPr>
  </w:style>
  <w:style w:type="paragraph" w:styleId="Header">
    <w:name w:val="header"/>
    <w:basedOn w:val="Normal"/>
    <w:link w:val="HeaderChar"/>
    <w:uiPriority w:val="99"/>
    <w:unhideWhenUsed/>
    <w:rsid w:val="004C3A9B"/>
    <w:pPr>
      <w:tabs>
        <w:tab w:val="center" w:pos="4680"/>
        <w:tab w:val="right" w:pos="9360"/>
      </w:tabs>
      <w:spacing w:line="240" w:lineRule="auto"/>
    </w:pPr>
  </w:style>
  <w:style w:type="character" w:customStyle="1" w:styleId="HeaderChar">
    <w:name w:val="Header Char"/>
    <w:basedOn w:val="DefaultParagraphFont"/>
    <w:link w:val="Header"/>
    <w:uiPriority w:val="99"/>
    <w:rsid w:val="004C3A9B"/>
  </w:style>
  <w:style w:type="paragraph" w:styleId="Footer">
    <w:name w:val="footer"/>
    <w:basedOn w:val="Normal"/>
    <w:link w:val="FooterChar"/>
    <w:uiPriority w:val="99"/>
    <w:unhideWhenUsed/>
    <w:rsid w:val="004C3A9B"/>
    <w:pPr>
      <w:tabs>
        <w:tab w:val="center" w:pos="4680"/>
        <w:tab w:val="right" w:pos="9360"/>
      </w:tabs>
      <w:spacing w:line="240" w:lineRule="auto"/>
    </w:pPr>
  </w:style>
  <w:style w:type="character" w:customStyle="1" w:styleId="FooterChar">
    <w:name w:val="Footer Char"/>
    <w:basedOn w:val="DefaultParagraphFont"/>
    <w:link w:val="Footer"/>
    <w:uiPriority w:val="99"/>
    <w:rsid w:val="004C3A9B"/>
  </w:style>
  <w:style w:type="paragraph" w:styleId="FootnoteText">
    <w:name w:val="footnote text"/>
    <w:basedOn w:val="Normal"/>
    <w:link w:val="FootnoteTextChar"/>
    <w:uiPriority w:val="99"/>
    <w:semiHidden/>
    <w:unhideWhenUsed/>
    <w:rsid w:val="005522E7"/>
    <w:pPr>
      <w:spacing w:line="240" w:lineRule="auto"/>
    </w:pPr>
    <w:rPr>
      <w:sz w:val="20"/>
      <w:szCs w:val="20"/>
    </w:rPr>
  </w:style>
  <w:style w:type="character" w:customStyle="1" w:styleId="FootnoteTextChar">
    <w:name w:val="Footnote Text Char"/>
    <w:basedOn w:val="DefaultParagraphFont"/>
    <w:link w:val="FootnoteText"/>
    <w:uiPriority w:val="99"/>
    <w:semiHidden/>
    <w:rsid w:val="005522E7"/>
    <w:rPr>
      <w:sz w:val="20"/>
      <w:szCs w:val="20"/>
    </w:rPr>
  </w:style>
  <w:style w:type="character" w:styleId="FootnoteReference">
    <w:name w:val="footnote reference"/>
    <w:basedOn w:val="DefaultParagraphFont"/>
    <w:uiPriority w:val="99"/>
    <w:semiHidden/>
    <w:unhideWhenUsed/>
    <w:rsid w:val="00552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29967">
      <w:bodyDiv w:val="1"/>
      <w:marLeft w:val="0"/>
      <w:marRight w:val="0"/>
      <w:marTop w:val="0"/>
      <w:marBottom w:val="0"/>
      <w:divBdr>
        <w:top w:val="none" w:sz="0" w:space="0" w:color="auto"/>
        <w:left w:val="none" w:sz="0" w:space="0" w:color="auto"/>
        <w:bottom w:val="none" w:sz="0" w:space="0" w:color="auto"/>
        <w:right w:val="none" w:sz="0" w:space="0" w:color="auto"/>
      </w:divBdr>
      <w:divsChild>
        <w:div w:id="811873348">
          <w:marLeft w:val="0"/>
          <w:marRight w:val="0"/>
          <w:marTop w:val="0"/>
          <w:marBottom w:val="0"/>
          <w:divBdr>
            <w:top w:val="none" w:sz="0" w:space="0" w:color="auto"/>
            <w:left w:val="none" w:sz="0" w:space="0" w:color="auto"/>
            <w:bottom w:val="none" w:sz="0" w:space="0" w:color="auto"/>
            <w:right w:val="none" w:sz="0" w:space="0" w:color="auto"/>
          </w:divBdr>
        </w:div>
      </w:divsChild>
    </w:div>
    <w:div w:id="850069831">
      <w:bodyDiv w:val="1"/>
      <w:marLeft w:val="0"/>
      <w:marRight w:val="0"/>
      <w:marTop w:val="0"/>
      <w:marBottom w:val="0"/>
      <w:divBdr>
        <w:top w:val="none" w:sz="0" w:space="0" w:color="auto"/>
        <w:left w:val="none" w:sz="0" w:space="0" w:color="auto"/>
        <w:bottom w:val="none" w:sz="0" w:space="0" w:color="auto"/>
        <w:right w:val="none" w:sz="0" w:space="0" w:color="auto"/>
      </w:divBdr>
    </w:div>
    <w:div w:id="987175497">
      <w:bodyDiv w:val="1"/>
      <w:marLeft w:val="0"/>
      <w:marRight w:val="0"/>
      <w:marTop w:val="0"/>
      <w:marBottom w:val="0"/>
      <w:divBdr>
        <w:top w:val="none" w:sz="0" w:space="0" w:color="auto"/>
        <w:left w:val="none" w:sz="0" w:space="0" w:color="auto"/>
        <w:bottom w:val="none" w:sz="0" w:space="0" w:color="auto"/>
        <w:right w:val="none" w:sz="0" w:space="0" w:color="auto"/>
      </w:divBdr>
    </w:div>
    <w:div w:id="1110858246">
      <w:bodyDiv w:val="1"/>
      <w:marLeft w:val="0"/>
      <w:marRight w:val="0"/>
      <w:marTop w:val="0"/>
      <w:marBottom w:val="0"/>
      <w:divBdr>
        <w:top w:val="none" w:sz="0" w:space="0" w:color="auto"/>
        <w:left w:val="none" w:sz="0" w:space="0" w:color="auto"/>
        <w:bottom w:val="none" w:sz="0" w:space="0" w:color="auto"/>
        <w:right w:val="none" w:sz="0" w:space="0" w:color="auto"/>
      </w:divBdr>
    </w:div>
    <w:div w:id="155847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 KERNS</cp:lastModifiedBy>
  <cp:revision>10</cp:revision>
  <dcterms:created xsi:type="dcterms:W3CDTF">2022-01-27T16:08:00Z</dcterms:created>
  <dcterms:modified xsi:type="dcterms:W3CDTF">2022-01-27T16:57:00Z</dcterms:modified>
</cp:coreProperties>
</file>